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301</w:t>
      </w:r>
    </w:p>
    <w:p>
      <w:r>
        <w:t>Bundesgericht (BGE), 2012-08-23, FR</w:t>
      </w:r>
    </w:p>
    <w:p>
      <w:r>
        <w:rPr>
          <w:b/>
        </w:rPr>
        <w:t xml:space="preserve">Quelle: </w:t>
      </w:r>
      <w:r>
        <w:t>https://mcp.opencaselaw.ch/entscheid/bge_139 IV 301</w:t>
      </w:r>
    </w:p>
    <w:p>
      <w:r>
        <w:t>FR: ATF 139 IV 301</w:t>
      </w:r>
    </w:p>
    <w:p>
      <w:r>
        <w:t>IT: DTF 139 IV 301</w:t>
      </w:r>
    </w:p>
    <w:p>
      <w:pPr>
        <w:pStyle w:val="Heading2"/>
      </w:pPr>
      <w:r>
        <w:t>Regeste</w:t>
      </w:r>
    </w:p>
    <w:p>
      <w:r>
        <w:t>Regeste Art. 78 und 84 BGG; Art. 393 Abs. 1 lit. a StPO; Art. 80e Abs. 2 lit. b IRSG; Zugang des Privatklägers zum Strafdossier. Wird das Recht des Privatklägers bestritten, im kantonalen Strafverfahren Einsicht in das Dossier zu nehmen, so ist diese Rechtsfrage selbst dann der kantonalen Beschwerdeinstanz zu unterbreiten, wenn die Verletzung von Bestimmungen der internationalen Rechtshilfe in Strafsachen geltend gemacht wird (Präzisierung der Rechtsprechung; E. 2).</w:t>
      </w:r>
    </w:p>
    <w:p>
      <w:pPr>
        <w:pStyle w:val="Heading2"/>
      </w:pPr>
      <w:r>
        <w:t>Erwägungen</w:t>
      </w:r>
    </w:p>
    <w:p>
      <w:r>
        <w:rPr>
          <w:b/>
        </w:rPr>
        <w:t>E. 2</w:t>
      </w:r>
    </w:p>
    <w:p>
      <w:r>
        <w:t>L'office recourant considère que les griefs relatifs à l'application de l'EIMP (RS 351.1), y compris dans les procédures pénales cantonales, ressortiraient de la seule compétence de la Cour des plaintes. Cela a déjà été admis récemment pour les procédures pénales menées par une autorité fédérale ( ATF 139 IV 294 ) et il devrait en aller de même pour les procédures cantonales, compte tenu de la volonté du législateur d'instituer une procédure de recours unifiée. Au contraire de la Cour des plaintes, les autorités cantonales de recours n'auraient aucune compétence en matière d'EIMP. En tant qu'autorité de surveillance, l'OFJ relève la nécessité d'assurer une pratique uniforme sur ces questions.</w:t>
      </w:r>
    </w:p>
    <w:p>
      <w:r>
        <w:rPr>
          <w:b/>
        </w:rPr>
        <w:t>E. 2.1</w:t>
      </w:r>
    </w:p>
    <w:p>
      <w:r>
        <w:t>Dans son arrêt précité ATF 139 IV 294 , le Tribunal fédéral a considéré que le recours au sens de l' art. 84 LTF est ouvert lorsque l'accès au dossier pénal accordé à la partie plaignante comporte le risque d'une transmission de renseignements à l'autorité étrangère avant que l'autorité suisse d'entraide judiciaire ait statué sur l'admissibilité d'une telle transmission (consid. 1). Cet arrêt part de la considération qu'une transmission prématurée peut avoir les mêmes effets qu'une décision finale de clôture de la procédure d'entraide. Il concerne toutefois une procédure pénale menée par le Ministère public de la Confédération, dont les décisions (qu'il s'agisse d'entraide judiciaire ou de procédure pénale) peuvent être portées devant la Cour des plaintes du TPF. Celle-ci est en effet l'autorité de recours contre les décisions du MPC au sens de l' art. 20 CPP (DANIEL KIPFER, in Basler Kommentar, Schweizerische Strafprozessordnung, 2011, n° 6 ad art. 20 CPP ; cf. art. 393 CPP et 37 de la loi fédérale du 19 mars 2012 sur l'organisation des autorités pénales de la Confédération [LOAP; RS 173.71], ainsi que contre les décisions de la même autorité prises en matière d'entraide judiciaire ( art. 25 EIMP ).</w:t>
      </w:r>
    </w:p>
    <w:p>
      <w:r>
        <w:rPr>
          <w:b/>
        </w:rPr>
        <w:t>E. 2.2</w:t>
      </w:r>
    </w:p>
    <w:p>
      <w:r>
        <w:t>La situation est différente lorsque la procédure pénale est de la compétence des autorités cantonales au sens de l' art. 22 CPP . Dans ce cas, l'ensemble de l'activité du ministère public est soumise aux autorités de recours cantonales ordinaires au sens de l' art. 393 al. 1 let. a CPP . Certes, l'accès au dossier pénal peut comporter, comme on l'a vu, le risque d'un détournement de la procédure d'entraide. BGE 139 IV 301 S. 304 Toutefois, contrairement à ce qu'estime l'OFJ, si l'autorité cantonale de recours ne peut pas connaître des recours formés directement contre les décisions de l'autorité d'exécution en matière d'entraide judiciaire, sa cognition est libre et complète, et s'étend à l'ensemble des questions de droit ( art. 393 al. 2 let. a CPP ; ANDREAS J. KELLER, in Kommentar zur Schweizerischen Strafprozessordnung [StPO], 2010, n° 38 ad art. 393 CPP ). Le grief de violation du droit administratif fédéral, y compris de l'EIMP, peut donc être soulevé dans ce cadre, et l'autorité de recours est alors tenue de l'examiner. Il n'est d'ailleurs pas rare qu'une question de droit administratif doive être examinée par une autorité pénale (par exemple lorsqu'il s'agit d'examiner l'obligation de diligence en rapport avec une infraction par négligence), ce qui n'en fait pas pour autant une cause de droit administratif. Les risques liés aux pratiques divergentes entre les autorités cantonales peuvent par ailleurs être palliés par l'intervention, en dernière instance, du Tribunal fédéral. Admettre la possibilité d'un recours à la Cour des plaintes présenterait en outre des difficultés lorsque celui-ci porte également sur des questions de procédure pénale (telle que l'admission de la qualité de partie plaignante) pour lesquelles cette autorité n'est pas compétente.</w:t>
      </w:r>
    </w:p>
    <w:p>
      <w:r>
        <w:rPr>
          <w:b/>
        </w:rPr>
        <w:t>E. 2.3</w:t>
      </w:r>
    </w:p>
    <w:p>
      <w:r>
        <w:t>La jurisprudence précitée doit ainsi être précisée en ce sens que la contestation sur le droit de la partie plaignante de consulter le dossier d'une procédure pénale cantonale doit être soumise à l'autorité de recours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